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0F2DC2" w:rsidP="00236732" w:rsidRDefault="000F2DC2" w14:paraId="51AB755A" wp14:textId="77777777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:rsidR="000F2DC2" w:rsidRDefault="000F2DC2" w14:paraId="672A6659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0A37501D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="000F2DC2" w:rsidTr="2FA80FC6" w14:paraId="5D78FE6A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0F2DC2" w:rsidRDefault="000F2DC2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0F2DC2" w:rsidRDefault="000F2DC2" w14:paraId="3B80CB94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Łacina i kultura antyczna</w:t>
            </w:r>
          </w:p>
        </w:tc>
      </w:tr>
      <w:tr xmlns:wp14="http://schemas.microsoft.com/office/word/2010/wordml" w:rsidR="000F2DC2" w:rsidTr="2FA80FC6" w14:paraId="3B4CAD60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0F2DC2" w:rsidRDefault="000F2DC2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="000F2DC2" w:rsidRDefault="000F2DC2" w14:paraId="18292D8E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 w:rsidRPr="2FA80FC6" w:rsidR="000F2DC2">
              <w:rPr>
                <w:rFonts w:ascii="Arial" w:hAnsi="Arial" w:cs="Arial"/>
                <w:i w:val="1"/>
                <w:iCs w:val="1"/>
                <w:sz w:val="22"/>
                <w:szCs w:val="22"/>
                <w:lang w:val="fr-CA"/>
              </w:rPr>
              <w:t xml:space="preserve">The Latin </w:t>
            </w:r>
            <w:r w:rsidRPr="2FA80FC6" w:rsidR="000F2DC2">
              <w:rPr>
                <w:rFonts w:ascii="Arial" w:hAnsi="Arial" w:cs="Arial"/>
                <w:i w:val="1"/>
                <w:iCs w:val="1"/>
                <w:sz w:val="22"/>
                <w:szCs w:val="22"/>
                <w:lang w:val="fr-CA"/>
              </w:rPr>
              <w:t>Language</w:t>
            </w:r>
            <w:r w:rsidRPr="2FA80FC6" w:rsidR="000F2DC2">
              <w:rPr>
                <w:rFonts w:ascii="Arial" w:hAnsi="Arial" w:cs="Arial"/>
                <w:i w:val="1"/>
                <w:iCs w:val="1"/>
                <w:sz w:val="22"/>
                <w:szCs w:val="22"/>
                <w:lang w:val="fr-CA"/>
              </w:rPr>
              <w:t xml:space="preserve"> and Ancient Culture</w:t>
            </w:r>
          </w:p>
        </w:tc>
      </w:tr>
    </w:tbl>
    <w:p xmlns:wp14="http://schemas.microsoft.com/office/word/2010/wordml" w:rsidR="000F2DC2" w:rsidRDefault="000F2DC2" w14:paraId="02EB378F" wp14:textId="77777777">
      <w:pPr>
        <w:jc w:val="center"/>
        <w:rPr>
          <w:rFonts w:ascii="Arial" w:hAnsi="Arial" w:cs="Arial"/>
          <w:sz w:val="20"/>
          <w:szCs w:val="20"/>
          <w:lang w:val="fr-CA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="000F2DC2" w14:paraId="3BFAAE17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F2DC2" w:rsidRDefault="000F2DC2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F2DC2" w:rsidRDefault="000F2DC2" w14:paraId="3A859A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F2DC2" w:rsidRDefault="000F2DC2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0F2DC2" w14:paraId="4D208D1D" wp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0F2DC2" w:rsidRDefault="000F2DC2" w14:paraId="6A05A80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="000F2DC2" w:rsidRDefault="000F2DC2" w14:paraId="5A39BBE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0F2DC2" w:rsidRDefault="000F2DC2" w14:paraId="129C25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Zespół Katedry Literatur Francuskiego Obszaru Językowego</w:t>
            </w:r>
          </w:p>
        </w:tc>
      </w:tr>
      <w:tr xmlns:wp14="http://schemas.microsoft.com/office/word/2010/wordml" w:rsidR="000F2DC2" w14:paraId="41C8F396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0F2DC2" w:rsidRDefault="000F2DC2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0F2DC2" w:rsidRDefault="000F2DC2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0F2DC2" w:rsidRDefault="000F2DC2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F2DC2" w14:paraId="3A45FB00" wp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F2DC2" w:rsidRDefault="000F2DC2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0F2DC2" w:rsidRDefault="000F2DC2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="000F2DC2" w:rsidRDefault="000F2DC2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0F2DC2" w:rsidRDefault="000F2DC2" w14:paraId="44EAFD9C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0F2DC2" w:rsidRDefault="000F2DC2" w14:paraId="4B94D5A5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0F2DC2" w:rsidRDefault="000F2DC2" w14:paraId="3DEEC669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3656B9A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45FB081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0F2DC2" w:rsidRDefault="000F2DC2" w14:paraId="049F31CB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0F2DC2" w14:paraId="4BAD73B0" wp14:textId="77777777">
        <w:trPr>
          <w:trHeight w:val="1365"/>
        </w:trPr>
        <w:tc>
          <w:tcPr>
            <w:tcW w:w="9640" w:type="dxa"/>
          </w:tcPr>
          <w:p w:rsidR="000F2DC2" w:rsidRDefault="000F2DC2" w14:paraId="068AA4C0" wp14:textId="7777777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zapoznanie studentów z podstawami języka łacińskiego uzupełnionymi o elementy kultury antycznej w oparciu o tłumaczenia wybranych tekstów. Ponieważ zajęcia skierowane są do studentów filologii hiszpańskiej, mogą stanowić wprowadzenie do historii języka hiszpańskiego. W trakcie wykładu szczególny nacisk kładzie się na te elementy języka, które uległy największym przemianom w przeobrażaniu się łaciny w języki romańskie. Elementy kultury antycznej wprowadzane są przy okazji treści przekazywanych w tłumaczonych tekstach łacińskich.</w:t>
            </w:r>
          </w:p>
        </w:tc>
      </w:tr>
    </w:tbl>
    <w:p xmlns:wp14="http://schemas.microsoft.com/office/word/2010/wordml" w:rsidR="000F2DC2" w:rsidRDefault="000F2DC2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62486C0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0F2DC2" w:rsidRDefault="000F2DC2" w14:paraId="4101652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0F2DC2" w14:paraId="672959C0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F2DC2" w:rsidRDefault="000F2DC2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F2DC2" w:rsidRDefault="000F2DC2" w14:paraId="776122C2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gramatyki języka polskiego. Bardzo ogólna wiedza o kulturze starożytnej.</w:t>
            </w:r>
          </w:p>
        </w:tc>
      </w:tr>
      <w:tr xmlns:wp14="http://schemas.microsoft.com/office/word/2010/wordml" w:rsidR="000F2DC2" w14:paraId="77321491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F2DC2" w:rsidRDefault="000F2DC2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F2DC2" w:rsidRDefault="000F2DC2" w14:paraId="2F16CC86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Rozbiór logiczny i gramatyczny zdania.</w:t>
            </w:r>
          </w:p>
          <w:p w:rsidR="000F2DC2" w:rsidRDefault="000F2DC2" w14:paraId="4B99056E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0F2DC2" w14:paraId="1B9EBB4A" wp14:textId="77777777">
        <w:tc>
          <w:tcPr>
            <w:tcW w:w="1941" w:type="dxa"/>
            <w:shd w:val="clear" w:color="auto" w:fill="DBE5F1"/>
            <w:vAlign w:val="center"/>
          </w:tcPr>
          <w:p w:rsidR="000F2DC2" w:rsidRDefault="000F2DC2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F2DC2" w:rsidRDefault="000F2DC2" w14:paraId="630107F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Kursy odbyte na poziomie szkoły średniej.</w:t>
            </w:r>
          </w:p>
          <w:p w:rsidR="000F2DC2" w:rsidRDefault="000F2DC2" w14:paraId="1299C43A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0F2DC2" w:rsidRDefault="000F2DC2" w14:paraId="4DDBEF00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3461D779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44A509E2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:rsidR="000F2DC2" w:rsidRDefault="000F2DC2" w14:paraId="3CF2D8B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0F2DC2" w14:paraId="1F092DD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0F2DC2" w14:paraId="4848AEB2" wp14:textId="77777777">
        <w:trPr>
          <w:cantSplit/>
          <w:trHeight w:val="1838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0F2DC2" w:rsidRDefault="000F2DC2" w14:paraId="0FB78278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4595BA86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 Student zna omawiane struktury gramatyczne.</w:t>
            </w:r>
          </w:p>
          <w:p w:rsidR="000F2DC2" w:rsidRDefault="000F2DC2" w14:paraId="1FC39945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5FFF18F7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 Student zna łacińską nomenklaturę gramatyczną  dotyczącą rzeczownika i czasownika. </w:t>
            </w:r>
          </w:p>
          <w:p w:rsidR="000F2DC2" w:rsidRDefault="000F2DC2" w14:paraId="0562CB0E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630EF41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W03  Student zna prezentowane na zajęciach  sentencje oraz zagadnienia z kultury antycznej.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576CA0E4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W09  ma świadomość kompleksowej natury języka oraz jego złożoności i historycznej zmienności jego znaczenia</w:t>
            </w:r>
          </w:p>
        </w:tc>
      </w:tr>
    </w:tbl>
    <w:p xmlns:wp14="http://schemas.microsoft.com/office/word/2010/wordml" w:rsidR="000F2DC2" w:rsidRDefault="000F2DC2" w14:paraId="34CE0A4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62EBF3C5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0F2DC2" w14:paraId="782FBBD9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0F2DC2" w14:paraId="09197359" wp14:textId="77777777">
        <w:trPr>
          <w:cantSplit/>
          <w:trHeight w:val="2116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0F2DC2" w:rsidRDefault="000F2DC2" w14:paraId="6D98A12B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11174C66" wp14:textId="77777777">
            <w:pPr>
              <w:pStyle w:val="Zwykytekst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 Student potrafi dokonać przekładu na język polski typowych zdań łacińskich i wykorzystać informacje ze słownika łacińsko-polskiego.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0F2DC2" w:rsidRDefault="000F2DC2" w14:paraId="652FA143" wp14:textId="77777777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 Student potrafi formułować proste wypowiedzi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języku łacińskim.</w:t>
            </w:r>
          </w:p>
          <w:p w:rsidR="000F2DC2" w:rsidRDefault="000F2DC2" w14:paraId="2946DB82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59A6D5FA" wp14:textId="77777777">
            <w:pPr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U03  Student potrafi wskazać przykłady wpływu kultury antycznej na kulturę europejską.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53FAF5EA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 posiada podstawowe umiejętności badawcze, obejmujące formułowanie i analizę problemów badawczych w zakresie (… ) kultury i historii krajów danego obszaru językowego.</w:t>
            </w:r>
          </w:p>
        </w:tc>
      </w:tr>
    </w:tbl>
    <w:p xmlns:wp14="http://schemas.microsoft.com/office/word/2010/wordml" w:rsidR="000F2DC2" w:rsidRDefault="000F2DC2" w14:paraId="5997CC1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110FFD3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0F2DC2" w14:paraId="3CDBE711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0F2DC2" w14:paraId="2FE18916" wp14:textId="77777777">
        <w:trPr>
          <w:cantSplit/>
          <w:trHeight w:val="1984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0F2DC2" w:rsidRDefault="000F2DC2" w14:paraId="6B699379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794DD876" wp14:textId="7777777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Student dostrzega łacińskie korzenie kultury europejskiej.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K02 Student rozumie zjawiska językowe zachodzące w języku polskim i innych językach nowożytnych.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0F2DC2" w:rsidRDefault="000F2DC2" w14:paraId="4DCFC3E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Student ma świadomość przynależności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do kulturowej wspólnoty europejskiej.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3040FC9F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 rozumie potrzebę uczenia się języków obcych</w:t>
            </w:r>
          </w:p>
          <w:p w:rsidR="000F2DC2" w:rsidRDefault="000F2DC2" w14:paraId="57626D41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K07 ma świadomość odpowiedzialności za zachowanie dziedzictwa kulturowego (…).</w:t>
            </w:r>
          </w:p>
        </w:tc>
      </w:tr>
    </w:tbl>
    <w:p xmlns:wp14="http://schemas.microsoft.com/office/word/2010/wordml" w:rsidR="000F2DC2" w:rsidRDefault="000F2DC2" w14:paraId="3FE9F23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1F72F646" wp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0F2DC2" w14:paraId="68A6B712" wp14:textId="7777777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0F2DC2" w14:paraId="4B150495" wp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0F2DC2" w:rsidRDefault="000F2DC2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F2DC2" w:rsidRDefault="000F2DC2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0F2DC2" w14:paraId="53F2F122" wp14:textId="77777777">
        <w:trPr>
          <w:cantSplit/>
          <w:trHeight w:val="477"/>
        </w:trPr>
        <w:tc>
          <w:tcPr>
            <w:tcW w:w="9640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8CE6F91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1CDCEAD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BB9E25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23DE52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2E562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7547A0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043CB0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745931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F2DC2" w14:paraId="6C32A60D" wp14:textId="77777777"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0F2DC2" w:rsidRDefault="000F2DC2" w14:paraId="737112D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537F28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6DFB9E2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70DF9E5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44E871B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144A5D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F2DC2" w14:paraId="441E1E7F" wp14:textId="77777777"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0DA321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3B7B4B86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0F2DC2" w:rsidRDefault="000F2DC2" w14:paraId="17AD93B2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0DE4B5B7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0F2DC2" w:rsidRDefault="000F2DC2" w14:paraId="66204FF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0F2DC2" w14:paraId="008C06F3" wp14:textId="77777777">
        <w:trPr>
          <w:trHeight w:val="19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2DBF0D7D" wp14:textId="77777777">
            <w:pPr>
              <w:pStyle w:val="Zwykyteks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751AB76A" wp14:textId="77777777">
            <w:pPr>
              <w:spacing w:after="120" w:line="360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Metoda podająca, eksponująca, problemowa</w:t>
            </w:r>
          </w:p>
        </w:tc>
      </w:tr>
    </w:tbl>
    <w:p xmlns:wp14="http://schemas.microsoft.com/office/word/2010/wordml" w:rsidR="000F2DC2" w:rsidRDefault="000F2DC2" w14:paraId="6B62F1B3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02F2C34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:rsidR="000F2DC2" w:rsidRDefault="000F2DC2" w14:paraId="680A4E5D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0F2DC2" w14:paraId="4D1153E2" wp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1921983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0F2DC2" w14:paraId="573750AC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262F74A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96FEF7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194DB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69D0D3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CD245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231BE6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6FEB5B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0D7AA6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196D06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4FF1C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3096EF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8C9ECA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E0CB7F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1E61A3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2939CF24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D072C0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8A219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BD18F9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38601F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F3CAB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B08B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6DEB4A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AD9C6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B1F511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A5697B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5E6666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AA7E72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AE3BE76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096B81D7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5735E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5F9C3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023141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F3B14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62C7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64355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A96511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DF4E37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4FB30F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8F67DA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3297084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551937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0B404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4CA39715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FC106A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3BF0DD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BF38BB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726491C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3E07C4F8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ABC5AB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BA43DE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8B4751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3C354A8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7B89B0C6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D567F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57FA147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1FBD35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FDFCD0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1615E5F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27CA80DB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DD355C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09FC24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9186DCF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E1A861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B4DA82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7FAB64C0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A3A548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476C52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63D233C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FC8BD3B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4E40A228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12259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7360855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8E324A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3129FD4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59C494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xmlns:wp14="http://schemas.microsoft.com/office/word/2010/wordml" w:rsidR="000F2DC2" w:rsidRDefault="000F2DC2" w14:paraId="0DA123B1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4C4CEA3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50895670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0F2DC2" w14:paraId="3A8720ED" wp14:textId="77777777">
        <w:tc>
          <w:tcPr>
            <w:tcW w:w="1941" w:type="dxa"/>
            <w:shd w:val="clear" w:color="auto" w:fill="DBE5F1"/>
            <w:vAlign w:val="center"/>
          </w:tcPr>
          <w:p w:rsidR="000F2DC2" w:rsidRDefault="000F2DC2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F2DC2" w:rsidRDefault="000F2DC2" w14:paraId="67953FB1" wp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Warunkiem uzyskania zaliczenia jest regularne uczestnictwo w zajęciach, uzyskanie pozytywnej oceny z końcowego kolokwium. Zaliczenie końcowe może odbywać się również w formie ustnej bądź przybierać formę pracy pisemnej.</w:t>
            </w:r>
          </w:p>
        </w:tc>
      </w:tr>
    </w:tbl>
    <w:p xmlns:wp14="http://schemas.microsoft.com/office/word/2010/wordml" w:rsidR="000F2DC2" w:rsidRDefault="000F2DC2" w14:paraId="38C1F85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0C8FE7C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0F2DC2" w14:paraId="718A5242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F2DC2" w:rsidRDefault="000F2DC2" w14:paraId="1B2DCDB4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F2DC2" w:rsidRDefault="000F2DC2" w14:paraId="41004F19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F2DC2" w:rsidRDefault="000F2DC2" w14:paraId="67C0C651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0F2DC2" w:rsidRDefault="000F2DC2" w14:paraId="308D56C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797E50C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0F2DC2" w:rsidRDefault="000F2DC2" w14:paraId="7B04FA4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0F2DC2" w14:paraId="131EB1AE" wp14:textId="77777777">
        <w:trPr>
          <w:trHeight w:val="1136"/>
        </w:trPr>
        <w:tc>
          <w:tcPr>
            <w:tcW w:w="9640" w:type="dxa"/>
          </w:tcPr>
          <w:p w:rsidR="000F2DC2" w:rsidRDefault="000F2DC2" w14:paraId="3F52EA20" wp14:textId="77777777">
            <w:pPr>
              <w:pStyle w:val="BalloonText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Poniższe tematy mogą być uzupełniane o dodatkowe treści w zależności od tempa przerabianego materiału na zajęciach.</w:t>
            </w:r>
          </w:p>
          <w:p w:rsidR="000F2DC2" w:rsidRDefault="000F2DC2" w14:paraId="377159BD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Wymowa i ortografia.</w:t>
            </w:r>
          </w:p>
          <w:p w:rsidR="000F2DC2" w:rsidRDefault="000F2DC2" w14:paraId="33A06EDB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 w:rsidRPr="00832959">
              <w:rPr>
                <w:rFonts w:ascii="Arial" w:hAnsi="Arial" w:cs="Arial"/>
                <w:sz w:val="22"/>
                <w:lang w:val="fr-CA"/>
              </w:rPr>
              <w:t>Deklinacje: accusativus singularis. Koniugacje: indicativus praesentis czterech koniugacji. Imperativus.</w:t>
            </w:r>
          </w:p>
          <w:p w:rsidR="000F2DC2" w:rsidRDefault="000F2DC2" w14:paraId="237951D0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Deklinacje: genetivus singularis. Indicativus imperfecti activi.</w:t>
            </w:r>
          </w:p>
          <w:p w:rsidR="000F2DC2" w:rsidRDefault="000F2DC2" w14:paraId="45D1960E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Przypadki. Deklinacja pierwsza. Rodzaj. Futurum I</w:t>
            </w:r>
          </w:p>
          <w:p w:rsidR="000F2DC2" w:rsidRDefault="000F2DC2" w14:paraId="415BD1A6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Deklinacja II. Rodzaj. Zaimki osobowe.</w:t>
            </w:r>
          </w:p>
          <w:p w:rsidR="000F2DC2" w:rsidRDefault="000F2DC2" w14:paraId="35D845CD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Deklinacja III. Zaimek względny. Dativus possessivus.</w:t>
            </w:r>
          </w:p>
          <w:p w:rsidR="000F2DC2" w:rsidRDefault="000F2DC2" w14:paraId="1341D608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Deklinacja III. Przymiotniki deklinacji III.</w:t>
            </w:r>
          </w:p>
          <w:p w:rsidR="000F2DC2" w:rsidRDefault="000F2DC2" w14:paraId="45A02D9A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Deklinacje IV i V.</w:t>
            </w:r>
          </w:p>
          <w:p w:rsidR="000F2DC2" w:rsidRDefault="000F2DC2" w14:paraId="28E8D74E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 xml:space="preserve">Odmiana zaimka wskazującego </w:t>
            </w:r>
            <w:r>
              <w:rPr>
                <w:rFonts w:ascii="Arial" w:hAnsi="Arial" w:cs="Arial"/>
                <w:i/>
                <w:iCs/>
                <w:sz w:val="22"/>
              </w:rPr>
              <w:t>ille</w:t>
            </w:r>
            <w:r>
              <w:rPr>
                <w:rFonts w:ascii="Arial" w:hAnsi="Arial" w:cs="Arial"/>
                <w:sz w:val="22"/>
              </w:rPr>
              <w:t>. Strona bierna</w:t>
            </w:r>
          </w:p>
          <w:p w:rsidR="000F2DC2" w:rsidRDefault="000F2DC2" w14:paraId="66FB51FF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Liczebniki. Stopniowanie przymiotników.</w:t>
            </w:r>
          </w:p>
          <w:p w:rsidR="000F2DC2" w:rsidRDefault="000F2DC2" w14:paraId="2A732160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Temat perfecti. Indicativus perfecti activi. Indicativus plusquamperfecti activi.</w:t>
            </w:r>
          </w:p>
          <w:p w:rsidR="000F2DC2" w:rsidRDefault="000F2DC2" w14:paraId="5A76C1A4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 w:rsidRPr="00832959">
              <w:rPr>
                <w:rFonts w:ascii="Arial" w:hAnsi="Arial" w:cs="Arial"/>
                <w:sz w:val="22"/>
                <w:lang w:val="pt-PT"/>
              </w:rPr>
              <w:t>Supinum. Participia. Accusativus cum infinitivo.</w:t>
            </w:r>
          </w:p>
          <w:p w:rsidR="000F2DC2" w:rsidRDefault="000F2DC2" w14:paraId="049E4668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Coniunctivus praesentis activi</w:t>
            </w:r>
          </w:p>
          <w:p w:rsidR="000F2DC2" w:rsidRDefault="000F2DC2" w14:paraId="480D4EB8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Czasowniki nieregularne.</w:t>
            </w:r>
          </w:p>
        </w:tc>
      </w:tr>
    </w:tbl>
    <w:p xmlns:wp14="http://schemas.microsoft.com/office/word/2010/wordml" w:rsidR="000F2DC2" w:rsidRDefault="000F2DC2" w14:paraId="568C698B" wp14:textId="77777777">
      <w:pPr>
        <w:rPr>
          <w:rFonts w:ascii="Arial" w:hAnsi="Arial" w:cs="Arial"/>
          <w:sz w:val="22"/>
          <w:szCs w:val="16"/>
          <w:lang w:val="fr-CA"/>
        </w:rPr>
      </w:pPr>
    </w:p>
    <w:p xmlns:wp14="http://schemas.microsoft.com/office/word/2010/wordml" w:rsidR="000F2DC2" w:rsidRDefault="000F2DC2" w14:paraId="1A939487" wp14:textId="77777777">
      <w:pPr>
        <w:rPr>
          <w:rFonts w:ascii="Arial" w:hAnsi="Arial" w:cs="Arial"/>
          <w:sz w:val="22"/>
          <w:szCs w:val="16"/>
          <w:lang w:val="fr-CA"/>
        </w:rPr>
      </w:pPr>
    </w:p>
    <w:p xmlns:wp14="http://schemas.microsoft.com/office/word/2010/wordml" w:rsidR="000F2DC2" w:rsidRDefault="000F2DC2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0F2DC2" w:rsidRDefault="000F2DC2" w14:paraId="6AA258D8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0F2DC2" w14:paraId="6C57260F" wp14:textId="77777777">
        <w:trPr>
          <w:trHeight w:val="1098"/>
        </w:trPr>
        <w:tc>
          <w:tcPr>
            <w:tcW w:w="9622" w:type="dxa"/>
          </w:tcPr>
          <w:p w:rsidR="000F2DC2" w:rsidRDefault="000F2DC2" w14:paraId="636D6BC2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Kumaniecki K.,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łacińsko-polski</w:t>
            </w:r>
            <w:r>
              <w:rPr>
                <w:rFonts w:ascii="Arial" w:hAnsi="Arial" w:cs="Arial"/>
                <w:sz w:val="22"/>
                <w:szCs w:val="16"/>
              </w:rPr>
              <w:t>, PWN, Warszawa 1986.</w:t>
            </w:r>
          </w:p>
          <w:p w:rsidR="000F2DC2" w:rsidRDefault="000F2DC2" w14:paraId="60F392D0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Lewandowski I., Wikariak J.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, Elementa sermonis latini. Podręcznik dla lektoratów</w:t>
            </w:r>
            <w:r>
              <w:rPr>
                <w:rFonts w:ascii="Arial" w:hAnsi="Arial" w:cs="Arial"/>
                <w:sz w:val="22"/>
                <w:szCs w:val="16"/>
              </w:rPr>
              <w:t>, PWN, Warszawa 1981.</w:t>
            </w:r>
          </w:p>
          <w:p w:rsidR="000F2DC2" w:rsidRDefault="000F2DC2" w14:paraId="014F59B2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i/>
                <w:iCs/>
                <w:sz w:val="22"/>
                <w:szCs w:val="16"/>
              </w:rPr>
              <w:t>Mała encyklopedia kultury antycznej. A-Z</w:t>
            </w:r>
            <w:r>
              <w:rPr>
                <w:rFonts w:ascii="Arial" w:hAnsi="Arial" w:cs="Arial"/>
                <w:sz w:val="22"/>
                <w:szCs w:val="16"/>
              </w:rPr>
              <w:t>, red. Zdzisław Piszczek, PWN, Waeszawa 1990.</w:t>
            </w:r>
          </w:p>
        </w:tc>
      </w:tr>
    </w:tbl>
    <w:p xmlns:wp14="http://schemas.microsoft.com/office/word/2010/wordml" w:rsidR="000F2DC2" w:rsidRDefault="000F2DC2" w14:paraId="6FFBD3E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0F2DC2" w:rsidRDefault="000F2DC2" w14:paraId="30DCCCAD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0F2DC2" w14:paraId="1B89E65C" wp14:textId="77777777">
        <w:trPr>
          <w:trHeight w:val="1112"/>
        </w:trPr>
        <w:tc>
          <w:tcPr>
            <w:tcW w:w="9622" w:type="dxa"/>
          </w:tcPr>
          <w:p w:rsidR="000F2DC2" w:rsidRDefault="000F2DC2" w14:paraId="39A31CB0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Fredouille J.-C.,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cywilizacji rzymskiej</w:t>
            </w:r>
            <w:r>
              <w:rPr>
                <w:rFonts w:ascii="Arial" w:hAnsi="Arial" w:cs="Arial"/>
                <w:sz w:val="22"/>
                <w:szCs w:val="16"/>
              </w:rPr>
              <w:t>,  "Książnica", Katowice 1998.</w:t>
            </w:r>
          </w:p>
          <w:p w:rsidR="000F2DC2" w:rsidRDefault="000F2DC2" w14:paraId="4C7FD627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Kopaliński W.,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mitów i tradycji kultury</w:t>
            </w:r>
            <w:r>
              <w:rPr>
                <w:rFonts w:ascii="Arial" w:hAnsi="Arial" w:cs="Arial"/>
                <w:sz w:val="22"/>
                <w:szCs w:val="16"/>
              </w:rPr>
              <w:t>, PWN, Warszawa 2000.</w:t>
            </w:r>
          </w:p>
          <w:p w:rsidR="000F2DC2" w:rsidRDefault="000F2DC2" w14:paraId="56E82CC4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Kubiak Z., </w:t>
            </w:r>
            <w:r>
              <w:rPr>
                <w:rFonts w:ascii="Arial" w:hAnsi="Arial" w:cs="Arial"/>
                <w:i/>
                <w:sz w:val="22"/>
                <w:szCs w:val="16"/>
              </w:rPr>
              <w:t>Mitologia Greków i Rzymian</w:t>
            </w:r>
            <w:r>
              <w:rPr>
                <w:rFonts w:ascii="Arial" w:hAnsi="Arial" w:cs="Arial"/>
                <w:sz w:val="22"/>
                <w:szCs w:val="16"/>
              </w:rPr>
              <w:t>, Świat Książki, Warszawa 1999.</w:t>
            </w:r>
          </w:p>
          <w:p w:rsidR="000F2DC2" w:rsidRDefault="000F2DC2" w14:paraId="144AA9A1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i/>
                <w:sz w:val="22"/>
                <w:szCs w:val="16"/>
              </w:rPr>
              <w:t>Mały słownik polsko-łaciński</w:t>
            </w:r>
            <w:r>
              <w:rPr>
                <w:rFonts w:ascii="Arial" w:hAnsi="Arial" w:cs="Arial"/>
                <w:sz w:val="22"/>
                <w:szCs w:val="16"/>
              </w:rPr>
              <w:t>, red. Lidia Winniczuk, Warszawa, Wydaw. Szk. PWN, 1998.</w:t>
            </w:r>
          </w:p>
          <w:p w:rsidR="000F2DC2" w:rsidRDefault="000F2DC2" w14:paraId="507C70E4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Samolewicz Z.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Składnia łacińska</w:t>
            </w:r>
            <w:r>
              <w:rPr>
                <w:rFonts w:ascii="Arial" w:hAnsi="Arial" w:cs="Arial"/>
                <w:sz w:val="22"/>
                <w:szCs w:val="16"/>
              </w:rPr>
              <w:t xml:space="preserve">, Wydawnictwo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Homini</w:t>
            </w:r>
            <w:r>
              <w:rPr>
                <w:rFonts w:ascii="Arial" w:hAnsi="Arial" w:cs="Arial"/>
                <w:sz w:val="22"/>
                <w:szCs w:val="16"/>
              </w:rPr>
              <w:t>, Kraków 2006.</w:t>
            </w:r>
          </w:p>
          <w:p w:rsidR="000F2DC2" w:rsidRDefault="000F2DC2" w14:paraId="14B4BAF6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Wikarjak J., </w:t>
            </w:r>
            <w:r>
              <w:rPr>
                <w:rFonts w:ascii="Arial" w:hAnsi="Arial" w:cs="Arial"/>
                <w:i/>
                <w:sz w:val="22"/>
                <w:szCs w:val="16"/>
              </w:rPr>
              <w:t>Gramatyka opisowa języka łacińskiego</w:t>
            </w:r>
            <w:r>
              <w:rPr>
                <w:rFonts w:ascii="Arial" w:hAnsi="Arial" w:cs="Arial"/>
                <w:sz w:val="22"/>
                <w:szCs w:val="16"/>
              </w:rPr>
              <w:t>, Wydaw. Nauk. PWN, Warszawa 2012.</w:t>
            </w:r>
          </w:p>
          <w:p w:rsidR="000F2DC2" w:rsidRDefault="000F2DC2" w14:paraId="436A9A16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Winniczuk L. (red.),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kultury antycznej : Grecja, Rzym</w:t>
            </w:r>
            <w:r>
              <w:rPr>
                <w:rFonts w:ascii="Arial" w:hAnsi="Arial" w:cs="Arial"/>
                <w:sz w:val="22"/>
                <w:szCs w:val="16"/>
              </w:rPr>
              <w:t>, Wiedza Powszechna, Warszawa</w:t>
            </w:r>
            <w:r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1986.</w:t>
            </w:r>
          </w:p>
          <w:p w:rsidR="000F2DC2" w:rsidRDefault="000F2DC2" w14:paraId="53622A34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Winniczuk L., </w:t>
            </w:r>
            <w:r>
              <w:rPr>
                <w:rFonts w:ascii="Arial" w:hAnsi="Arial" w:cs="Arial"/>
                <w:i/>
                <w:sz w:val="22"/>
                <w:szCs w:val="16"/>
              </w:rPr>
              <w:t>Lingua Latina. Łacina bez pomocy Orbiliusza</w:t>
            </w:r>
            <w:r>
              <w:rPr>
                <w:rFonts w:ascii="Arial" w:hAnsi="Arial" w:cs="Arial"/>
                <w:sz w:val="22"/>
                <w:szCs w:val="16"/>
              </w:rPr>
              <w:t>, PWN, Warszawa 1976.</w:t>
            </w:r>
          </w:p>
        </w:tc>
      </w:tr>
    </w:tbl>
    <w:p xmlns:wp14="http://schemas.microsoft.com/office/word/2010/wordml" w:rsidR="000F2DC2" w:rsidRDefault="000F2DC2" w14:paraId="36AF688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54C529ED" wp14:textId="77777777">
      <w:pPr>
        <w:pStyle w:val="BalloonText1"/>
        <w:rPr>
          <w:rFonts w:ascii="Arial" w:hAnsi="Arial" w:cs="Arial"/>
          <w:sz w:val="22"/>
        </w:rPr>
      </w:pPr>
    </w:p>
    <w:p xmlns:wp14="http://schemas.microsoft.com/office/word/2010/wordml" w:rsidR="000F2DC2" w:rsidRDefault="000F2DC2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0F2DC2" w:rsidRDefault="000F2DC2" w14:paraId="1C0157D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xmlns:wp14="http://schemas.microsoft.com/office/word/2010/wordml" w:rsidR="000F2DC2" w14:paraId="32BA5E81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F2DC2" w:rsidRDefault="000F2DC2" w14:paraId="7C25A66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F2DC2" w:rsidRDefault="000F2DC2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F2DC2" w:rsidRDefault="000F2DC2" w14:paraId="18E8C380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0F2DC2" w14:paraId="6D29A719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F2DC2" w:rsidRDefault="000F2DC2" w14:paraId="3691E7B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2DC2" w:rsidRDefault="000F2DC2" w14:paraId="0F4E52B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F2DC2" w:rsidRDefault="000F2DC2" w14:paraId="526770C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F2DC2" w14:paraId="4EC60290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7CBEED8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33CFEC6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:rsidR="000F2DC2" w14:paraId="5AC2A423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F2DC2" w:rsidRDefault="000F2DC2" w14:paraId="69AC145B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F2DC2" w:rsidRDefault="000F2DC2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F2DC2" w:rsidRDefault="000F2DC2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0F2DC2" w14:paraId="561B59D1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F2DC2" w:rsidRDefault="000F2DC2" w14:paraId="6E36661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2DC2" w:rsidRDefault="000F2DC2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F2DC2" w:rsidRDefault="000F2DC2" w14:paraId="38645DC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F2DC2" w14:paraId="0E24D7D7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F2DC2" w:rsidRDefault="000F2DC2" w14:paraId="135E58C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2DC2" w:rsidRDefault="000F2DC2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F2DC2" w:rsidRDefault="000F2DC2" w14:paraId="62EBF9A1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F2DC2" w14:paraId="68D886CC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C6C2CD5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3D4F678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423D4B9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:rsidR="000F2DC2" w14:paraId="398ADB4D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F2DC2" w:rsidRDefault="000F2DC2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F2DC2" w:rsidRDefault="000F2DC2" w14:paraId="58A771A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:rsidR="000F2DC2" w14:paraId="7FD4029F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F2DC2" w:rsidRDefault="000F2DC2" w14:paraId="06A3514F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F2DC2" w:rsidRDefault="000F2DC2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="000F2DC2" w:rsidRDefault="000F2DC2" w14:paraId="709E88E4" wp14:textId="77777777">
      <w:pPr>
        <w:pStyle w:val="BalloonText1"/>
        <w:rPr>
          <w:rFonts w:ascii="Arial" w:hAnsi="Arial" w:cs="Arial"/>
          <w:sz w:val="22"/>
        </w:rPr>
      </w:pPr>
    </w:p>
    <w:sectPr w:rsidR="000F2DC2">
      <w:headerReference w:type="default" r:id="rId9"/>
      <w:footerReference w:type="default" r:id="rId10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0F2DC2" w:rsidRDefault="000F2DC2" w14:paraId="508C98E9" wp14:textId="77777777">
      <w:r>
        <w:separator/>
      </w:r>
    </w:p>
  </w:endnote>
  <w:endnote w:type="continuationSeparator" w:id="0">
    <w:p xmlns:wp14="http://schemas.microsoft.com/office/word/2010/wordml" w:rsidR="000F2DC2" w:rsidRDefault="000F2DC2" w14:paraId="779F8E7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0F2DC2" w:rsidRDefault="000F2DC2" w14:paraId="407CE2FB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36732" w:rsidR="00236732">
      <w:rPr>
        <w:noProof/>
        <w:lang w:val="pl-PL" w:eastAsia="ja-JP"/>
      </w:rPr>
      <w:t>1</w:t>
    </w:r>
    <w:r>
      <w:fldChar w:fldCharType="end"/>
    </w:r>
  </w:p>
  <w:p xmlns:wp14="http://schemas.microsoft.com/office/word/2010/wordml" w:rsidR="000F2DC2" w:rsidRDefault="000F2DC2" w14:paraId="5F07D11E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0F2DC2" w:rsidRDefault="000F2DC2" w14:paraId="7818863E" wp14:textId="77777777">
      <w:r>
        <w:separator/>
      </w:r>
    </w:p>
  </w:footnote>
  <w:footnote w:type="continuationSeparator" w:id="0">
    <w:p xmlns:wp14="http://schemas.microsoft.com/office/word/2010/wordml" w:rsidR="000F2DC2" w:rsidRDefault="000F2DC2" w14:paraId="44F69B9A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0F2DC2" w:rsidRDefault="000F2DC2" w14:paraId="41508A3C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674F"/>
    <w:multiLevelType w:val="multilevel"/>
    <w:tmpl w:val="0F5F674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16597"/>
    <w:multiLevelType w:val="multilevel"/>
    <w:tmpl w:val="33F1659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36E09"/>
    <w:multiLevelType w:val="multilevel"/>
    <w:tmpl w:val="5EF36E0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6131138">
    <w:abstractNumId w:val="0"/>
  </w:num>
  <w:num w:numId="2" w16cid:durableId="218788316">
    <w:abstractNumId w:val="1"/>
  </w:num>
  <w:num w:numId="3" w16cid:durableId="1575628560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468B4"/>
    <w:rsid w:val="00060462"/>
    <w:rsid w:val="000F2DC2"/>
    <w:rsid w:val="00146535"/>
    <w:rsid w:val="0016340A"/>
    <w:rsid w:val="00171154"/>
    <w:rsid w:val="00236732"/>
    <w:rsid w:val="00242567"/>
    <w:rsid w:val="00351C8C"/>
    <w:rsid w:val="0037551B"/>
    <w:rsid w:val="003879F4"/>
    <w:rsid w:val="003E05CB"/>
    <w:rsid w:val="00445F91"/>
    <w:rsid w:val="00481F50"/>
    <w:rsid w:val="0048438E"/>
    <w:rsid w:val="004C06E4"/>
    <w:rsid w:val="0051108D"/>
    <w:rsid w:val="00533C27"/>
    <w:rsid w:val="005D4E89"/>
    <w:rsid w:val="005E02B0"/>
    <w:rsid w:val="00630192"/>
    <w:rsid w:val="00631428"/>
    <w:rsid w:val="00715210"/>
    <w:rsid w:val="00761BD1"/>
    <w:rsid w:val="007670F9"/>
    <w:rsid w:val="00782274"/>
    <w:rsid w:val="007A3069"/>
    <w:rsid w:val="00832959"/>
    <w:rsid w:val="00877859"/>
    <w:rsid w:val="008B2E2E"/>
    <w:rsid w:val="008B370F"/>
    <w:rsid w:val="00944887"/>
    <w:rsid w:val="0097545D"/>
    <w:rsid w:val="009C6D8B"/>
    <w:rsid w:val="00A56B15"/>
    <w:rsid w:val="00A75012"/>
    <w:rsid w:val="00AC4320"/>
    <w:rsid w:val="00AC7663"/>
    <w:rsid w:val="00AF2267"/>
    <w:rsid w:val="00B02C1B"/>
    <w:rsid w:val="00B109AA"/>
    <w:rsid w:val="00B456C9"/>
    <w:rsid w:val="00B552DA"/>
    <w:rsid w:val="00C56056"/>
    <w:rsid w:val="00C660C7"/>
    <w:rsid w:val="00CA495B"/>
    <w:rsid w:val="00CD7FF7"/>
    <w:rsid w:val="00D14304"/>
    <w:rsid w:val="00E45D46"/>
    <w:rsid w:val="00E72B95"/>
    <w:rsid w:val="00FE6A22"/>
    <w:rsid w:val="2FA80FC6"/>
    <w:rsid w:val="621C361B"/>
    <w:rsid w:val="700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08A0187"/>
  <w15:chartTrackingRefBased/>
  <w15:docId w15:val="{E6920DC2-8795-42C3-A377-19BDFB2BAC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/>
    <w:lsdException w:name="annotation text" w:uiPriority="0" w:semiHidden="1"/>
    <w:lsdException w:name="header" w:uiPriority="0" w:semiHidden="1"/>
    <w:lsdException w:name="footer" w:uiPriority="0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/>
    <w:lsdException w:name="annotation reference" w:uiPriority="0" w:semiHidden="1"/>
    <w:lsdException w:name="line number" w:semiHidden="1" w:unhideWhenUsed="1"/>
    <w:lsdException w:name="page number" w:uiPriority="0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/>
    <w:lsdException w:name="Body Text" w:uiPriority="0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after="120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character" w:styleId="Numerstrony">
    <w:name w:val="page number"/>
    <w:semiHidden/>
    <w:rPr>
      <w:sz w:val="14"/>
      <w:szCs w:val="14"/>
    </w:rPr>
  </w:style>
  <w:style w:type="paragraph" w:styleId="Zwykytekst">
    <w:name w:val="Plain Text"/>
    <w:basedOn w:val="Normalny"/>
    <w:link w:val="ZwykytekstZnak"/>
    <w:unhideWhenUsed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styleId="ZwykytekstZnak" w:customStyle="1">
    <w:name w:val="Zwykły tekst Znak"/>
    <w:link w:val="Zwykytekst"/>
    <w:semiHidden/>
    <w:rPr>
      <w:rFonts w:ascii="Courier New" w:hAnsi="Courier New"/>
    </w:rPr>
  </w:style>
  <w:style w:type="character" w:styleId="Znakinumeracji" w:customStyle="1">
    <w:name w:val="Znaki numeracji"/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character" w:styleId="StopkaZnak" w:customStyle="1">
    <w:name w:val="Stopka Znak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44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6BCE88-E531-4046-8184-9275BF68E5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287AB-BF48-4E29-8EBE-39B3EFF60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4</revision>
  <lastPrinted>2012-01-27T17:28:00.0000000Z</lastPrinted>
  <dcterms:created xsi:type="dcterms:W3CDTF">2024-10-18T17:45:00.0000000Z</dcterms:created>
  <dcterms:modified xsi:type="dcterms:W3CDTF">2024-10-18T17:46:48.7837098Z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ACD1B089981D444BB0FDE3A9D9CAA8E5_12</vt:lpwstr>
  </property>
</Properties>
</file>